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xml" ContentType="application/xml"/>
  <Default Extension="jpeg" ContentType="image/jpeg"/>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Para 08"/>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filepos7967">
        <w:r>
          <w:rPr>
            <w:color w:val="0000FF" w:themeColor="hyperlink"/>
            <w:u w:val="single"/>
          </w:rPr>
          <w:t>†1</w:t>
        </w:r>
      </w:hyperlink>
    </w:p>
    <w:p>
      <w:pPr>
        <w:pStyle w:val="Normal"/>
        <w:ind w:left="0" w:firstLineChars="0" w:firstLine="0" w:leftChars="0"/>
      </w:pPr>
      <w:hyperlink w:anchor="filepos8199">
        <w:r>
          <w:rPr>
            <w:color w:val="0000FF" w:themeColor="hyperlink"/>
            <w:u w:val="single"/>
          </w:rPr>
          <w:t>†2</w:t>
        </w:r>
      </w:hyperlink>
    </w:p>
    <w:p>
      <w:pPr>
        <w:pStyle w:val="Normal"/>
        <w:ind w:left="0" w:firstLineChars="0" w:firstLine="0" w:leftChars="0"/>
      </w:pPr>
      <w:hyperlink w:anchor="filepos8454">
        <w:r>
          <w:rPr>
            <w:color w:val="0000FF" w:themeColor="hyperlink"/>
            <w:u w:val="single"/>
          </w:rPr>
          <w:t>†3</w:t>
        </w:r>
      </w:hyperlink>
    </w:p>
    <w:p>
      <w:pPr>
        <w:pStyle w:val="Normal"/>
        <w:ind w:left="0" w:firstLineChars="0" w:firstLine="0" w:leftChars="0"/>
      </w:pPr>
      <w:hyperlink w:anchor="filepos8730">
        <w:r>
          <w:rPr>
            <w:color w:val="0000FF" w:themeColor="hyperlink"/>
            <w:u w:val="single"/>
          </w:rPr>
          <w:t>†4</w:t>
        </w:r>
      </w:hyperlink>
    </w:p>
    <w:p>
      <w:pPr>
        <w:pStyle w:val="Normal"/>
        <w:ind w:left="0" w:firstLineChars="0" w:firstLine="0" w:leftChars="0"/>
      </w:pPr>
      <w:hyperlink w:anchor="filepos9011">
        <w:r>
          <w:rPr>
            <w:color w:val="0000FF" w:themeColor="hyperlink"/>
            <w:u w:val="single"/>
          </w:rPr>
          <w:t>†5</w:t>
        </w:r>
      </w:hyperlink>
    </w:p>
    <w:p>
      <w:pPr>
        <w:pStyle w:val="Normal"/>
        <w:ind w:left="0" w:firstLineChars="0" w:firstLine="0" w:leftChars="0"/>
      </w:pPr>
      <w:hyperlink w:anchor="filepos9294">
        <w:r>
          <w:rPr>
            <w:color w:val="0000FF" w:themeColor="hyperlink"/>
            <w:u w:val="single"/>
          </w:rPr>
          <w:t>†6</w:t>
        </w:r>
      </w:hyperlink>
      <w:r>
        <w:fldChar w:fldCharType="end"/>
      </w:r>
    </w:p>
    <w:p>
      <w:pPr>
        <w:pStyle w:val="0 Block"/>
        <w:pageBreakBefore w:val="on"/>
      </w:pPr>
    </w:p>
    <w:p>
      <w:pPr>
        <w:pStyle w:val="Para 08"/>
      </w:pPr>
      <w:r>
        <w:t>How to read FIRM Flood Insurance Rate Maps</w:t>
      </w:r>
    </w:p>
    <w:p>
      <w:pPr>
        <w:pStyle w:val="Para 09"/>
      </w:pPr>
      <w:r>
        <w:t>Question: Is the unshaded area in the FIRM out of the flood zone?</w:t>
      </w:r>
    </w:p>
    <w:p>
      <w:pPr>
        <w:pStyle w:val="1 Block"/>
      </w:pPr>
    </w:p>
    <w:p>
      <w:pPr>
        <w:pStyle w:val="Para 10"/>
        <w:pageBreakBefore w:val="on"/>
      </w:pPr>
      <w:r>
        <w:t xml:space="preserve"> </w:t>
      </w:r>
    </w:p>
    <w:p>
      <w:pPr>
        <w:pStyle w:val="Para 04"/>
      </w:pPr>
      <w:r>
        <w:t xml:space="preserve">Not always according to the FIRM (Flood Insurance Rate Maps) online. </w:t>
      </w:r>
      <w:hyperlink w:anchor="filepos7967">
        <w:r>
          <w:rPr>
            <w:rStyle w:val="Text5"/>
          </w:rPr>
          <w:t>†1</w:t>
        </w:r>
      </w:hyperlink>
    </w:p>
    <w:p>
      <w:pPr>
        <w:pStyle w:val="Normal"/>
      </w:pPr>
      <w:r>
        <w:rPr>
          <w:rStyle w:val="Text0"/>
        </w:rPr>
        <w:t>Zone X Shaded</w:t>
      </w:r>
      <w:r>
        <w:t xml:space="preserve"> is greater than or equal to the 0.2% (500 year) annual flood predictions.</w:t>
      </w:r>
    </w:p>
    <w:p>
      <w:pPr>
        <w:pStyle w:val="Normal"/>
      </w:pPr>
      <w:r>
        <w:rPr>
          <w:rStyle w:val="Text0"/>
        </w:rPr>
        <w:t>Zone X Unshaded</w:t>
      </w:r>
      <w:r>
        <w:t xml:space="preserve"> is less than or equal to the 0.2% (500 year) annual flood predictions.</w:t>
      </w:r>
    </w:p>
    <w:p>
      <w:pPr>
        <w:pStyle w:val="Normal"/>
      </w:pPr>
      <w:r>
        <w:t>Your formulas:</w:t>
      </w:r>
    </w:p>
    <w:p>
      <w:pPr>
        <w:pStyle w:val="Normal"/>
      </w:pPr>
      <w:r>
        <w:t>If Zone X &gt;= 0.2 Then Zone X is Shaded</w:t>
        <w:br w:clear="none"/>
        <w:t>If Zone X &lt;= 0.2 Then Zone X is Unshaded</w:t>
      </w:r>
    </w:p>
    <w:p>
      <w:pPr>
        <w:pStyle w:val="Normal"/>
      </w:pPr>
      <w:r>
        <w:t>The most important part of understanding the Flood Insurance Rate Maps is learning the legend.</w:t>
      </w:r>
    </w:p>
    <w:p>
      <w:pPr>
        <w:pStyle w:val="Normal"/>
      </w:pPr>
      <w:r>
        <w:rPr>
          <w:rStyle w:val="Text0"/>
        </w:rPr>
        <w:t xml:space="preserve">From the </w:t>
      </w:r>
      <w:hyperlink r:id="rId6">
        <w:r>
          <w:rPr>
            <w:rStyle w:val="Text1"/>
          </w:rPr>
          <w:t>LSU Ag Center FIRM Legend</w:t>
        </w:r>
      </w:hyperlink>
      <w:r>
        <w:rPr>
          <w:rStyle w:val="Text0"/>
        </w:rPr>
        <w:t>: ZONE X</w:t>
      </w:r>
      <w:r>
        <w:t xml:space="preserve"> - Areas of 500-year flood; or 100-year flood with average depths of less than 1 foot or with drainage areas less than 1 square mile; and areas protected by levees from 100-year flood. </w:t>
      </w:r>
      <w:hyperlink w:anchor="filepos8199">
        <w:r>
          <w:rPr>
            <w:rStyle w:val="Text1"/>
          </w:rPr>
          <w:t>†2</w:t>
        </w:r>
      </w:hyperlink>
    </w:p>
    <w:p>
      <w:pPr>
        <w:pStyle w:val="Normal"/>
      </w:pPr>
      <w:r>
        <w:t>Another important lesson is to understand what the 100 year and 500 year flood predictions really mean.</w:t>
      </w:r>
    </w:p>
    <w:p>
      <w:pPr>
        <w:pStyle w:val="Para 05"/>
      </w:pPr>
      <w:r>
        <w:rPr>
          <w:rStyle w:val="Text0"/>
        </w:rPr>
        <w:t>100 year flood</w:t>
      </w:r>
      <w:r>
        <w:t xml:space="preserve"> = </w:t>
      </w:r>
      <w:r>
        <w:rPr>
          <w:rStyle w:val="Text0"/>
        </w:rPr>
        <w:t>1%</w:t>
      </w:r>
      <w:r>
        <w:t xml:space="preserve"> (One Percent) chance of a flood each year.</w:t>
        <w:br w:clear="none"/>
      </w:r>
      <w:r>
        <w:rPr>
          <w:rStyle w:val="Text0"/>
        </w:rPr>
        <w:t>500 year Flood</w:t>
      </w:r>
      <w:r>
        <w:t xml:space="preserve"> = </w:t>
      </w:r>
      <w:r>
        <w:rPr>
          <w:rStyle w:val="Text0"/>
        </w:rPr>
        <w:t>0.2%</w:t>
      </w:r>
      <w:r>
        <w:t xml:space="preserve"> (zero point two percent) chance of a flood each year. </w:t>
        <w:br w:clear="none"/>
      </w:r>
      <w:r>
        <w:rPr>
          <w:rStyle w:val="Text3"/>
        </w:rPr>
        <w:t>(Educated Guess, no actual data spanning 500 years for any given flood zone.)</w:t>
        <w:br w:clear="none"/>
      </w:r>
      <w:r>
        <w:rPr>
          <w:rStyle w:val="Text0"/>
        </w:rPr>
        <w:t>1000 year Flood</w:t>
      </w:r>
      <w:r>
        <w:t xml:space="preserve"> = Not enough data to determine. (Guess work / Engineers calculations / Opinion)</w:t>
      </w:r>
    </w:p>
    <w:p>
      <w:pPr>
        <w:pStyle w:val="Normal"/>
      </w:pPr>
      <w:r>
        <w:t>For more reading about percentage and predictions here are some resources.</w:t>
      </w:r>
    </w:p>
    <w:p>
      <w:pPr>
        <w:pStyle w:val="Para 05"/>
      </w:pPr>
      <w:r>
        <w:rPr>
          <w:rStyle w:val="Text0"/>
        </w:rPr>
        <w:t>USGS</w:t>
      </w:r>
      <w:r>
        <w:t xml:space="preserve"> water.usgs.gov.</w:t>
      </w:r>
    </w:p>
    <w:p>
      <w:pPr>
        <w:pStyle w:val="Para 20"/>
      </w:pPr>
      <w:r>
        <w:t/>
      </w:r>
    </w:p>
    <w:p>
      <w:pPr>
        <w:numPr>
          <w:ilvl w:val="0"/>
          <w:numId w:val="1"/>
        </w:numPr>
        <w:pStyle w:val="Para 06"/>
      </w:pPr>
      <w:r>
        <w:t xml:space="preserve">What is a 100 year flood? </w:t>
      </w:r>
      <w:hyperlink w:anchor="filepos8454">
        <w:r>
          <w:rPr>
            <w:rStyle w:val="Text1"/>
          </w:rPr>
          <w:t>†3</w:t>
        </w:r>
      </w:hyperlink>
    </w:p>
    <w:p>
      <w:pPr>
        <w:numPr>
          <w:ilvl w:val="0"/>
          <w:numId w:val="1"/>
        </w:numPr>
        <w:pStyle w:val="Para 03"/>
      </w:pPr>
      <w:r>
        <w:t xml:space="preserve">How accurate are 100-year flood estimates? </w:t>
      </w:r>
      <w:hyperlink w:anchor="filepos8730">
        <w:r>
          <w:rPr>
            <w:rStyle w:val="Text1"/>
          </w:rPr>
          <w:t>†4</w:t>
        </w:r>
      </w:hyperlink>
    </w:p>
    <w:p>
      <w:pPr>
        <w:numPr>
          <w:ilvl w:val="0"/>
          <w:numId w:val="1"/>
        </w:numPr>
        <w:pStyle w:val="Para 03"/>
      </w:pPr>
      <w:r>
        <w:t xml:space="preserve">Can we have two 100-year floods close together? </w:t>
      </w:r>
      <w:hyperlink w:anchor="filepos9011">
        <w:r>
          <w:rPr>
            <w:rStyle w:val="Text1"/>
          </w:rPr>
          <w:t>†5</w:t>
        </w:r>
      </w:hyperlink>
    </w:p>
    <w:p>
      <w:pPr>
        <w:pStyle w:val="Para 11"/>
      </w:pPr>
      <w:r>
        <w:t>FEMA</w:t>
      </w:r>
    </w:p>
    <w:p>
      <w:pPr>
        <w:pStyle w:val="Para 20"/>
      </w:pPr>
      <w:r>
        <w:t/>
      </w:r>
    </w:p>
    <w:p>
      <w:pPr>
        <w:numPr>
          <w:ilvl w:val="0"/>
          <w:numId w:val="2"/>
        </w:numPr>
        <w:pStyle w:val="Para 06"/>
      </w:pPr>
      <w:r>
        <w:t xml:space="preserve">The 100 Year Flood Myth FEMA Training. </w:t>
      </w:r>
      <w:hyperlink w:anchor="filepos9294">
        <w:r>
          <w:rPr>
            <w:rStyle w:val="Text1"/>
          </w:rPr>
          <w:t>†6</w:t>
        </w:r>
      </w:hyperlink>
    </w:p>
    <w:p>
      <w:pPr>
        <w:pStyle w:val="Normal"/>
      </w:pPr>
      <w:r>
        <w:t xml:space="preserve"> </w:t>
      </w:r>
    </w:p>
    <w:p>
      <w:pPr>
        <w:pStyle w:val="Normal"/>
      </w:pPr>
      <w:r>
        <w:t>What we have learned about FIRM Maps from experience.</w:t>
      </w:r>
    </w:p>
    <w:p>
      <w:pPr>
        <w:pStyle w:val="Para 20"/>
      </w:pPr>
      <w:r>
        <w:t/>
      </w:r>
    </w:p>
    <w:p>
      <w:pPr>
        <w:numPr>
          <w:ilvl w:val="0"/>
          <w:numId w:val="3"/>
        </w:numPr>
        <w:pStyle w:val="Para 12"/>
      </w:pPr>
      <w:r>
        <w:t>FIRM Maps assist in identifying flood zones.</w:t>
      </w:r>
    </w:p>
    <w:p>
      <w:pPr>
        <w:numPr>
          <w:ilvl w:val="0"/>
          <w:numId w:val="3"/>
        </w:numPr>
        <w:pStyle w:val="Para 13"/>
      </w:pPr>
      <w:r>
        <w:t>FIRM Maps do not guarantee your property will not flood.</w:t>
      </w:r>
    </w:p>
    <w:p>
      <w:pPr>
        <w:pStyle w:val="Normal"/>
      </w:pPr>
      <w:r>
        <w:t xml:space="preserve">For our example, enter: </w:t>
      </w:r>
      <w:r>
        <w:rPr>
          <w:rStyle w:val="Text0"/>
        </w:rPr>
        <w:t>30.4866 -90.9308</w:t>
      </w:r>
      <w:r>
        <w:t xml:space="preserve"> into the search field at </w:t>
      </w:r>
      <w:hyperlink r:id="rId7">
        <w:r>
          <w:rPr>
            <w:rStyle w:val="Text1"/>
          </w:rPr>
          <w:t>http://maps.lsuagcenter.com/floodmaps/</w:t>
        </w:r>
      </w:hyperlink>
    </w:p>
    <w:p>
      <w:pPr>
        <w:pStyle w:val="2 Block"/>
      </w:pPr>
    </w:p>
    <w:p>
      <w:pPr>
        <w:pStyle w:val="Normal"/>
      </w:pPr>
      <w:r>
        <w:t>After you enter your search information (coordinates or street address) you will see a pin with a number appear on your map. Click or Tap the pin number to show information about this specific location.</w:t>
      </w:r>
    </w:p>
    <w:p>
      <w:pPr>
        <w:pStyle w:val="Normal"/>
      </w:pPr>
      <w:r>
        <w:t xml:space="preserve">In our example we see the flood zone type is Flood Zone X and we are in an unshaded area. </w:t>
        <w:br w:clear="none"/>
        <w:t>This for the most part would indicate that FEMA and the NFIP does not require you to carry flood insurance on your property and home. But, some mortgage lenders may require flood insurance do to the proximity to other flood prone areas.</w:t>
      </w:r>
    </w:p>
    <w:p>
      <w:pPr>
        <w:pStyle w:val="Normal"/>
      </w:pPr>
      <w:r>
        <w:t xml:space="preserve">The example we used is not unique or the exception. </w:t>
        <w:br w:clear="none"/>
        <w:t xml:space="preserve">The example is in a </w:t>
      </w:r>
      <w:r>
        <w:rPr>
          <w:rStyle w:val="Text0"/>
        </w:rPr>
        <w:t>Flood Zone X Unshaded</w:t>
      </w:r>
      <w:r>
        <w:t xml:space="preserve"> which is not required to hold flood insurance. But the h</w:t>
      </w:r>
      <w:r>
        <w:rPr>
          <w:rStyle w:val="Text0"/>
        </w:rPr>
        <w:t>ome and surrounding properties did flood August 2016</w:t>
      </w:r>
      <w:r>
        <w:t xml:space="preserve">. It is </w:t>
      </w:r>
      <w:r>
        <w:rPr>
          <w:rStyle w:val="Text0"/>
        </w:rPr>
        <w:t>estimated the this area had 20 inches to 32 inches of water in the homes</w:t>
      </w:r>
      <w:r>
        <w:t xml:space="preserve"> based on ground elevation. If the home was elevated the water in the home during the August 2016 flood would be less than the 20 to 32 inch estimates.</w:t>
      </w:r>
    </w:p>
    <w:p>
      <w:pPr>
        <w:pStyle w:val="Para 14"/>
      </w:pPr>
      <w:r>
        <w:t>FEMA does not require Zone X Unshaded to have flood insurance.</w:t>
      </w:r>
      <w:r>
        <w:rPr>
          <w:rStyle w:val="Text4"/>
        </w:rPr>
        <w:t xml:space="preserve"> </w:t>
      </w:r>
      <w:r>
        <w:t>But,</w:t>
      </w:r>
      <w:r>
        <w:rPr>
          <w:rStyle w:val="Text4"/>
        </w:rPr>
        <w:t xml:space="preserve"> some lenders may require flood insurance. </w:t>
        <w:br w:clear="none"/>
        <w:t>FEMA Document:</w:t>
        <w:br w:clear="none"/>
        <w:t>(</w:t>
      </w:r>
      <w:hyperlink r:id="rId8">
        <w:r>
          <w:rPr>
            <w:rStyle w:val="Text1"/>
          </w:rPr>
          <w:t>https://www.fema.gov/faq-details/Flood-Insurance-Requirement</w:t>
        </w:r>
      </w:hyperlink>
      <w:r>
        <w:rPr>
          <w:rStyle w:val="Text4"/>
        </w:rPr>
        <w:t xml:space="preserve"> )</w:t>
      </w:r>
    </w:p>
    <w:p>
      <w:pPr>
        <w:pStyle w:val="Para 20"/>
      </w:pPr>
      <w:r>
        <w:t/>
      </w:r>
    </w:p>
    <w:p>
      <w:pPr>
        <w:numPr>
          <w:ilvl w:val="0"/>
          <w:numId w:val="4"/>
        </w:numPr>
        <w:pStyle w:val="Para 15"/>
      </w:pPr>
      <w:r>
        <w:t>Click the information icons at the LSUAgCenter.Com Flood Maps.</w:t>
      </w:r>
    </w:p>
    <w:p>
      <w:pPr>
        <w:numPr>
          <w:ilvl w:val="0"/>
          <w:numId w:val="4"/>
        </w:numPr>
        <w:pStyle w:val="Para 07"/>
      </w:pPr>
      <w:r>
        <w:t xml:space="preserve">It's important to understand elevation is ground level compared to sea level when we talk at base flood elevation and elevated property / homes. </w:t>
      </w:r>
    </w:p>
    <w:p>
      <w:pPr>
        <w:numPr>
          <w:ilvl w:val="0"/>
          <w:numId w:val="4"/>
        </w:numPr>
        <w:pStyle w:val="Para 07"/>
      </w:pPr>
      <w:r>
        <w:t>It's also important to identify ALL Flood Zones in your area and any special markings.</w:t>
      </w:r>
    </w:p>
    <w:p>
      <w:pPr>
        <w:pStyle w:val="Normal"/>
      </w:pPr>
      <w:r>
        <w:t>If you have a question feel free to use the comment section.</w:t>
      </w:r>
    </w:p>
    <w:p>
      <w:pPr>
        <w:pStyle w:val="Normal"/>
      </w:pPr>
      <w:r>
        <w:t>References / Footnotes :</w:t>
      </w:r>
    </w:p>
    <w:p>
      <w:pPr>
        <w:pStyle w:val="Para 20"/>
      </w:pPr>
      <w:r>
        <w:t/>
      </w:r>
    </w:p>
    <w:p>
      <w:pPr>
        <w:numPr>
          <w:ilvl w:val="0"/>
          <w:numId w:val="5"/>
        </w:numPr>
        <w:pStyle w:val="Para 16"/>
      </w:pPr>
      <w:r>
        <w:rPr>
          <w:rStyle w:val="Text2"/>
        </w:rPr>
        <w:t xml:space="preserve">FIRM (Flood Insurance Rate Map) </w:t>
      </w:r>
      <w:hyperlink r:id="rId7">
        <w:r>
          <w:t>http://maps.lsuagcenter.com/floodmaps/</w:t>
        </w:r>
      </w:hyperlink>
    </w:p>
    <w:p>
      <w:pPr>
        <w:pStyle w:val="Para 21"/>
      </w:pPr>
      <w:r>
        <w:bookmarkStart w:id="1" w:name="filepos7967"/>
        <w:t/>
        <w:bookmarkEnd w:id="1"/>
      </w:r>
    </w:p>
    <w:p>
      <w:pPr>
        <w:numPr>
          <w:ilvl w:val="0"/>
          <w:numId w:val="5"/>
        </w:numPr>
        <w:pStyle w:val="Para 02"/>
      </w:pPr>
      <w:r>
        <w:rPr>
          <w:rStyle w:val="Text2"/>
        </w:rPr>
        <w:t xml:space="preserve">FIRM Legend </w:t>
      </w:r>
      <w:hyperlink r:id="rId6">
        <w:r>
          <w:t>http://maps.lsuagcenter.com/floodmaps/legend.htm</w:t>
        </w:r>
      </w:hyperlink>
    </w:p>
    <w:p>
      <w:pPr>
        <w:pStyle w:val="Para 21"/>
      </w:pPr>
      <w:r>
        <w:bookmarkStart w:id="2" w:name="filepos8199"/>
        <w:t/>
        <w:bookmarkEnd w:id="2"/>
      </w:r>
    </w:p>
    <w:p>
      <w:pPr>
        <w:numPr>
          <w:ilvl w:val="0"/>
          <w:numId w:val="5"/>
        </w:numPr>
        <w:pStyle w:val="Para 02"/>
      </w:pPr>
      <w:r>
        <w:rPr>
          <w:rStyle w:val="Text2"/>
        </w:rPr>
        <w:t xml:space="preserve">USGS What is a 100 year flood? </w:t>
      </w:r>
      <w:hyperlink r:id="rId9">
        <w:r>
          <w:t>https://water.usgs.gov/edu/100yearflood-basic.html</w:t>
        </w:r>
      </w:hyperlink>
    </w:p>
    <w:p>
      <w:pPr>
        <w:pStyle w:val="Para 21"/>
      </w:pPr>
      <w:r>
        <w:bookmarkStart w:id="3" w:name="filepos8454"/>
        <w:t/>
        <w:bookmarkEnd w:id="3"/>
      </w:r>
    </w:p>
    <w:p>
      <w:pPr>
        <w:numPr>
          <w:ilvl w:val="0"/>
          <w:numId w:val="5"/>
        </w:numPr>
        <w:pStyle w:val="Para 02"/>
      </w:pPr>
      <w:r>
        <w:rPr>
          <w:rStyle w:val="Text2"/>
        </w:rPr>
        <w:t xml:space="preserve">USGS How accurate are 100-year flood estimates? </w:t>
      </w:r>
      <w:hyperlink r:id="rId10">
        <w:r>
          <w:t>https://water.usgs.gov/edu/100yearflood-basic-2.html</w:t>
        </w:r>
      </w:hyperlink>
    </w:p>
    <w:p>
      <w:pPr>
        <w:pStyle w:val="Para 21"/>
      </w:pPr>
      <w:r>
        <w:bookmarkStart w:id="4" w:name="filepos8730"/>
        <w:t/>
        <w:bookmarkEnd w:id="4"/>
      </w:r>
    </w:p>
    <w:p>
      <w:pPr>
        <w:numPr>
          <w:ilvl w:val="0"/>
          <w:numId w:val="5"/>
        </w:numPr>
        <w:pStyle w:val="Para 03"/>
      </w:pPr>
      <w:r>
        <w:t xml:space="preserve">USGS Can we have two 100-year floods close together? </w:t>
      </w:r>
      <w:hyperlink r:id="rId11">
        <w:r>
          <w:rPr>
            <w:rStyle w:val="Text1"/>
          </w:rPr>
          <w:t>https://water.usgs.gov/edu/100yearflood-basic-3.html</w:t>
        </w:r>
      </w:hyperlink>
    </w:p>
    <w:p>
      <w:pPr>
        <w:pStyle w:val="Para 21"/>
      </w:pPr>
      <w:r>
        <w:bookmarkStart w:id="5" w:name="filepos9011"/>
        <w:t/>
        <w:bookmarkEnd w:id="5"/>
      </w:r>
    </w:p>
    <w:p>
      <w:pPr>
        <w:numPr>
          <w:ilvl w:val="0"/>
          <w:numId w:val="5"/>
        </w:numPr>
        <w:pStyle w:val="Para 02"/>
      </w:pPr>
      <w:r>
        <w:rPr>
          <w:rStyle w:val="Text2"/>
        </w:rPr>
        <w:t xml:space="preserve">FEMA The 100 Year Flood Myth FEMA Training </w:t>
      </w:r>
      <w:hyperlink r:id="rId12">
        <w:r>
          <w:t>https://training.fema.gov/hiedu/docs/hazrm/handout 3-5.pdf</w:t>
        </w:r>
      </w:hyperlink>
    </w:p>
    <w:p>
      <w:pPr>
        <w:pStyle w:val="Para 21"/>
      </w:pPr>
      <w:r>
        <w:bookmarkStart w:id="6" w:name="filepos9294"/>
        <w:t/>
        <w:bookmarkEnd w:id="6"/>
      </w:r>
    </w:p>
    <w:p>
      <w:pPr>
        <w:pStyle w:val="Normal"/>
      </w:pPr>
      <w:r>
        <w:t xml:space="preserve"> </w:t>
      </w:r>
    </w:p>
    <w:p>
      <w:pPr>
        <w:pStyle w:val="Para 04"/>
      </w:pPr>
      <w:r>
        <w:t xml:space="preserve">Copyright 2023 TruckAndTools.Com All Rights Reserved. </w:t>
        <w:br w:clear="none"/>
        <w:t xml:space="preserve">Author: Murray Wennerlund </w:t>
        <w:br w:clear="none"/>
      </w:r>
      <w:hyperlink r:id="rId13">
        <w:r>
          <w:rPr>
            <w:rStyle w:val="Text1"/>
          </w:rPr>
          <w:t>Original post location</w:t>
        </w:r>
      </w:hyperlink>
      <w:r>
        <w:t xml:space="preserve"> </w:t>
        <w:br w:clear="none"/>
        <w:t xml:space="preserve">Published: 10-11-2017 Revised: 3-5-2023 </w:t>
        <w:br w:clear="none"/>
      </w:r>
      <w:hyperlink r:id="rId14">
        <w:r>
          <w:rPr>
            <w:rStyle w:val="Text1"/>
          </w:rPr>
          <w:t>Make a contribution</w:t>
        </w:r>
      </w:hyperlink>
      <w:r>
        <w:t xml:space="preserve"> </w:t>
        <w:br w:clear="none"/>
      </w:r>
      <w:hyperlink r:id="rId15">
        <w:r>
          <w:rPr>
            <w:rStyle w:val="Text1"/>
          </w:rPr>
          <w:t>TruckAndTools.Com</w:t>
        </w:r>
      </w:hyperlink>
      <w:r>
        <w:t xml:space="preserve"> </w:t>
      </w:r>
    </w:p>
    <w:p>
      <w:pPr>
        <w:pStyle w:val="1 Block"/>
      </w:pPr>
    </w:p>
    <w:p>
      <w:bookmarkStart w:id="7" w:name="Table_of_Contents"/>
      <w:pPr>
        <w:pStyle w:val="Para 17"/>
        <w:pageBreakBefore w:val="on"/>
      </w:pPr>
      <w:r>
        <w:t>Table of Contents</w:t>
      </w:r>
      <w:bookmarkEnd w:id="7"/>
    </w:p>
    <w:p>
      <w:pPr>
        <w:pStyle w:val="Para 18"/>
      </w:pPr>
      <w:hyperlink w:anchor="filepos7967">
        <w:r>
          <w:t>†1</w:t>
        </w:r>
      </w:hyperlink>
    </w:p>
    <w:p>
      <w:pPr>
        <w:pStyle w:val="Para 01"/>
      </w:pPr>
      <w:hyperlink w:anchor="filepos8199">
        <w:r>
          <w:t>†2</w:t>
        </w:r>
      </w:hyperlink>
    </w:p>
    <w:p>
      <w:pPr>
        <w:pStyle w:val="Para 01"/>
      </w:pPr>
      <w:hyperlink w:anchor="filepos8454">
        <w:r>
          <w:t>†3</w:t>
        </w:r>
      </w:hyperlink>
    </w:p>
    <w:p>
      <w:pPr>
        <w:pStyle w:val="Para 01"/>
      </w:pPr>
      <w:hyperlink w:anchor="filepos8730">
        <w:r>
          <w:t>†4</w:t>
        </w:r>
      </w:hyperlink>
    </w:p>
    <w:p>
      <w:pPr>
        <w:pStyle w:val="Para 01"/>
      </w:pPr>
      <w:hyperlink w:anchor="filepos9011">
        <w:r>
          <w:t>†5</w:t>
        </w:r>
      </w:hyperlink>
    </w:p>
    <w:p>
      <w:pPr>
        <w:pStyle w:val="Para 01"/>
      </w:pPr>
      <w:hyperlink w:anchor="filepos9294">
        <w:r>
          <w:t>†6</w:t>
        </w:r>
      </w:hyperlink>
    </w:p>
    <w:p>
      <w:pPr>
        <w:pStyle w:val="1 Block"/>
      </w:pPr>
    </w:p>
    <w:p>
      <w:pPr>
        <w:pStyle w:val="Para 19"/>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decimal"/>
      <w:lvlText w:val="%1."/>
      <w:lvlJc w:val="left"/>
      <w:pPr>
        <w:ind w:hanging="360" w:left="1152"/>
      </w:pPr>
    </w:lvl>
  </w:abstractNum>
  <w:abstractNum w:abstractNumId="1">
    <w:multiLevelType w:val="hybridMultilevel"/>
    <w:name w:val="List 2"/>
    <w:lvl w:ilvl="0">
      <w:start w:val="1"/>
      <w:numFmt w:val="decimal"/>
      <w:lvlText w:val="%1."/>
      <w:lvlJc w:val="left"/>
      <w:pPr>
        <w:ind w:hanging="360" w:left="1152"/>
      </w:pPr>
    </w:lvl>
  </w:abstractNum>
  <w:abstractNum w:abstractNumId="2">
    <w:multiLevelType w:val="hybridMultilevel"/>
    <w:name w:val="List 3"/>
    <w:lvl w:ilvl="0">
      <w:start w:val="1"/>
      <w:numFmt w:val="bullet"/>
      <w:lvlText w:val=""/>
      <w:lvlJc w:val="left"/>
      <w:pPr>
        <w:ind w:hanging="360" w:left="1152"/>
      </w:pPr>
      <w:rPr>
        <w:rFonts w:ascii="Symbol" w:hAnsi="Symbol" w:hint="default"/>
      </w:rPr>
    </w:lvl>
  </w:abstractNum>
  <w:abstractNum w:abstractNumId="3">
    <w:multiLevelType w:val="hybridMultilevel"/>
    <w:name w:val="List 4"/>
    <w:lvl w:ilvl="0">
      <w:start w:val="1"/>
      <w:numFmt w:val="bullet"/>
      <w:lvlText w:val=""/>
      <w:lvlJc w:val="left"/>
      <w:pPr>
        <w:ind w:hanging="360" w:left="1152"/>
      </w:pPr>
      <w:rPr>
        <w:rFonts w:ascii="Symbol" w:hAnsi="Symbol" w:hint="default"/>
      </w:rPr>
    </w:lvl>
  </w:abstractNum>
  <w:abstractNum w:abstractNumId="4">
    <w:multiLevelType w:val="hybridMultilevel"/>
    <w:name w:val="List 5"/>
    <w:lvl w:ilvl="0">
      <w:start w:val="1"/>
      <w:numFmt w:val="decimal"/>
      <w:lvlText w:val="%1."/>
      <w:lvlJc w:val="left"/>
      <w:pPr>
        <w:ind w:hanging="360" w:left="1152"/>
      </w:pPr>
    </w:lvl>
  </w:abstractNum>
  <w:num w:numId="1">
    <w:abstractNumId w:val="0"/>
  </w:num>
  <w:num w:numId="2">
    <w:abstractNumId w:val="1"/>
  </w:num>
  <w:num w:numId="3">
    <w:abstractNumId w:val="2"/>
  </w:num>
  <w:num w:numId="4">
    <w:abstractNumId w:val="3"/>
  </w:num>
  <w:num w:numId="5">
    <w:abstractNumId w:val="4"/>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ind w:left="280" w:leftChars="0" w:hanging="280" w:hangingChars="0"/>
    </w:pPr>
    <w:rPr>
      <w:color w:val="0000FF"/>
      <w:u w:val="single"/>
    </w:rPr>
  </w:style>
  <w:style w:styleId="Para 02" w:type="paragraph">
    <w:name w:val="Para 02"/>
    <w:qFormat/>
    <w:basedOn w:val="Normal"/>
    <w:pPr>
      <w:spacing w:before="60"/>
    </w:pPr>
    <w:rPr>
      <w:color w:val="485FC7"/>
      <w:u w:val="single"/>
    </w:rPr>
  </w:style>
  <w:style w:styleId="Para 03" w:type="paragraph">
    <w:name w:val="Para 03"/>
    <w:qFormat/>
    <w:basedOn w:val="Normal"/>
    <w:pPr>
      <w:spacing w:before="6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2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ind w:leftChars="2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7" w:type="paragraph">
    <w:name w:val="Para 07"/>
    <w:qFormat/>
    <w:basedOn w:val="Normal"/>
    <w:pPr>
      <w:spacing w:before="60"/>
    </w:pPr>
    <w:rPr>
      <w:i w:val="on"/>
      <w:iCs w:val="on"/>
    </w:rPr>
  </w:style>
  <w:style w:styleId="Para 08" w:type="paragraph">
    <w:name w:val="Para 08"/>
    <w:qFormat/>
    <w:basedOn w:val="Normal"/>
    <w:pPr>
      <w:spacing w:before="0"/>
    </w:pPr>
    <w:rPr>
      <w:sz w:val="43"/>
      <w:szCs w:val="43"/>
      <w:color w:val="363636"/>
    </w:rPr>
  </w:style>
  <w:style w:styleId="Para 09" w:type="paragraph">
    <w:name w:val="Para 09"/>
    <w:qFormat/>
    <w:basedOn w:val="Normal"/>
    <w:pPr>
      <w:spacing w:beforeLines="200"/>
    </w:pPr>
    <w:rPr>
      <w:sz w:val="31"/>
      <w:szCs w:val="31"/>
    </w:rPr>
  </w:style>
  <w:style w:styleId="Para 10" w:type="paragraph">
    <w:name w:val="Para 10"/>
    <w:qFormat/>
    <w:basedOn w:val="Normal"/>
    <w:pPr>
      <w:spacing w:beforeLines="3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11" w:type="paragraph">
    <w:name w:val="Para 11"/>
    <w:qFormat/>
    <w:basedOn w:val="Normal"/>
    <w:pPr>
      <w:ind w:leftChars="200"/>
    </w:pPr>
    <w:rPr>
      <w:color w:val="363636"/>
    </w:rPr>
  </w:style>
  <w:style w:styleId="Para 12" w:type="paragraph">
    <w:name w:val="Para 12"/>
    <w:qFormat/>
    <w:basedOn w:val="Normal"/>
    <w:pPr>
      <w:spacing w:before="0"/>
    </w:pPr>
    <w:rPr>
      <w:color w:val="363636"/>
    </w:rPr>
  </w:style>
  <w:style w:styleId="Para 13" w:type="paragraph">
    <w:name w:val="Para 13"/>
    <w:qFormat/>
    <w:basedOn w:val="Normal"/>
    <w:pPr>
      <w:spacing w:before="60"/>
    </w:pPr>
    <w:rPr>
      <w:color w:val="363636"/>
    </w:rPr>
  </w:style>
  <w:style w:styleId="Para 14" w:type="paragraph">
    <w:name w:val="Para 14"/>
    <w:qFormat/>
    <w:basedOn w:val="Normal"/>
    <w:pPr>
      <w:spacing w:beforeLines="100" w:line="288" w:lineRule="atLeast"/>
      <w:jc w:val="both"/>
    </w:pPr>
    <w:rPr>
      <w:color w:val="363636"/>
    </w:rPr>
  </w:style>
  <w:style w:styleId="Para 15" w:type="paragraph">
    <w:name w:val="Para 15"/>
    <w:qFormat/>
    <w:basedOn w:val="Normal"/>
    <w:pPr>
      <w:spacing w:before="0"/>
    </w:pPr>
    <w:rPr>
      <w:i w:val="on"/>
      <w:iCs w:val="on"/>
    </w:rPr>
  </w:style>
  <w:style w:styleId="Para 16" w:type="paragraph">
    <w:name w:val="Para 16"/>
    <w:qFormat/>
    <w:basedOn w:val="Normal"/>
    <w:pPr>
      <w:spacing w:before="0"/>
    </w:pPr>
    <w:rPr>
      <w:color w:val="485FC7"/>
      <w:u w:val="single"/>
    </w:rPr>
  </w:style>
  <w:style w:styleId="Para 17" w:type="paragraph">
    <w:name w:val="Para 17"/>
    <w:qFormat/>
    <w:basedOn w:val="Normal"/>
    <w:pPr>
      <w:jc w:val="center"/>
    </w:pPr>
    <w:rPr>
      <w:sz w:val="31"/>
      <w:szCs w:val="31"/>
      <w:b w:val="on"/>
      <w:bCs w:val="on"/>
      <w:color w:val="000000"/>
    </w:rPr>
  </w:style>
  <w:style w:styleId="Para 18" w:type="paragraph">
    <w:name w:val="Para 18"/>
    <w:qFormat/>
    <w:basedOn w:val="Normal"/>
    <w:pPr>
      <w:ind w:left="280" w:leftChars="0" w:hanging="280" w:hangingChars="0"/>
    </w:pPr>
    <w:rPr>
      <w:color w:val="0000FF"/>
      <w:u w:val="single"/>
    </w:rPr>
  </w:style>
  <w:style w:styleId="Para 19" w:type="paragraph">
    <w:name w:val="Para 19"/>
    <w:qFormat/>
    <w:basedOn w:val="Normal"/>
    <w:pPr>
      <w:spacing w:before="0"/>
      <w:ind w:left="100" w:leftChars="0" w:right="100" w:rightChars="0"/>
    </w:pPr>
    <w:rPr>
      <w:color w:val="000000"/>
    </w:rPr>
  </w:style>
  <w:style w:styleId="Para 20" w:type="paragraph">
    <w:name w:val="Para 20"/>
    <w:qFormat/>
    <w:basedOn w:val="Normal"/>
    <w:pPr>
      <w:spacing w:before="0"/>
    </w:pPr>
    <w:rPr>
      <w:color w:val="000000"/>
    </w:rPr>
  </w:style>
  <w:style w:styleId="Para 21" w:type="paragraph">
    <w:name w:val="Para 21"/>
    <w:qFormat/>
    <w:basedOn w:val="Normal"/>
    <w:pPr>
      <w:spacing w:afterLines="100"/>
    </w:pPr>
    <w:rPr>
      <w:color w:val="000000"/>
    </w:rPr>
  </w:style>
  <w:style w:styleId="Text0" w:type="character">
    <w:name w:val="0 Text"/>
    <w:rPr>
      <w:color w:val="363636"/>
    </w:rPr>
  </w:style>
  <w:style w:styleId="Text1" w:type="character">
    <w:name w:val="1 Text"/>
    <w:rPr>
      <w:color w:val="485FC7"/>
      <w:u w:val="single"/>
    </w:rPr>
  </w:style>
  <w:style w:styleId="Text2" w:type="character">
    <w:name w:val="2 Text"/>
    <w:rPr>
      <w:color w:val="4A4A4A"/>
      <w:u w:val="none"/>
    </w:rPr>
  </w:style>
  <w:style w:styleId="Text3" w:type="character">
    <w:name w:val="3 Text"/>
    <w:rPr>
      <w:i w:val="on"/>
      <w:iCs w:val="on"/>
    </w:rPr>
  </w:style>
  <w:style w:styleId="Text4" w:type="character">
    <w:name w:val="4 Text"/>
    <w:rPr>
      <w:color w:val="4A4A4A"/>
    </w:rPr>
  </w:style>
  <w:style w:styleId="Text5" w:type="character">
    <w:name w:val="5 Text"/>
    <w:rPr>
      <w:i w:val="on"/>
      <w:iCs w:val="on"/>
      <w:color w:val="485FC7"/>
    </w:rPr>
  </w:style>
  <w:style w:styleId="0 Block" w:type="paragraph">
    <w:name w:val="0 Block"/>
    <w:pPr>
      <w:spacing w:line="288" w:lineRule="atLeast"/>
      <w:jc w:val="both"/>
    </w:pPr>
  </w:style>
  <w:style w:styleId="1 Block" w:type="paragraph">
    <w:name w:val="1 Block"/>
    <w:basedOn w:val="0 Block"/>
  </w:style>
  <w:style w:styleId="2 Block" w:type="paragraph">
    <w:name w:val="2 Block"/>
    <w:basedOn w:val="0 Block"/>
    <w:pPr>
      <w:spacing w:beforeLines="10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maps.lsuagcenter.com/floodmaps/legend.htm" TargetMode="External"/><Relationship Id="rId7" Type="http://schemas.openxmlformats.org/officeDocument/2006/relationships/hyperlink" Target="http://maps.lsuagcenter.com/floodmaps/" TargetMode="External"/><Relationship Id="rId8" Type="http://schemas.openxmlformats.org/officeDocument/2006/relationships/hyperlink" Target="https://www.fema.gov/faq-details/Flood-Insurance-Requirement" TargetMode="External"/><Relationship Id="rId9" Type="http://schemas.openxmlformats.org/officeDocument/2006/relationships/hyperlink" Target="https://water.usgs.gov/edu/100yearflood-basic.html" TargetMode="External"/><Relationship Id="rId10" Type="http://schemas.openxmlformats.org/officeDocument/2006/relationships/hyperlink" Target="https://water.usgs.gov/edu/100yearflood-basic-2.html" TargetMode="External"/><Relationship Id="rId11" Type="http://schemas.openxmlformats.org/officeDocument/2006/relationships/hyperlink" Target="https://water.usgs.gov/edu/100yearflood-basic-3.html" TargetMode="External"/><Relationship Id="rId12" Type="http://schemas.openxmlformats.org/officeDocument/2006/relationships/hyperlink" Target="https://training.fema.gov/hiedu/docs/hazrm/handout 3-5.pdf" TargetMode="External"/><Relationship Id="rId13" Type="http://schemas.openxmlformats.org/officeDocument/2006/relationships/hyperlink" Target="https://www.truckandtools.com/disaster/fema.asp?gdyk=3" TargetMode="External"/><Relationship Id="rId14" Type="http://schemas.openxmlformats.org/officeDocument/2006/relationships/hyperlink" Target="https://www.truckandtools.com/contribute/default.asp" TargetMode="External"/><Relationship Id="rId15" Type="http://schemas.openxmlformats.org/officeDocument/2006/relationships/hyperlink" Target="https://www.truckandtool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06.0013</AppVersion>
  <DocSecurity>0</DocSecurity>
  <HyperlinksChanged>false</HyperlinksChanged>
  <LinksUpToDate>true</LinksUpToDate>
  <ScaleCrop>false</ScaleCrop>
  <SharedDoc>false</SharedDoc>
  <Company>Murray Wennerlund</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2023-03-06T16:40:07Z</dcterms:created>
  <dcterms:modified xsi:type="dcterms:W3CDTF">2023-03-06T16:40:07Z</dcterms:modified>
  <dc:title>How to read FIRM Flood Insurance Rate Maps</dc:title>
  <dc:creator>Murray Wennerlund</dc:creator>
  <cp:keywords>FIRM</cp:keywords>
  <dc:language>en</dc:language>
</cp:coreProperties>
</file>